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Standard component of dry air， suitable for nitrogen and oxygen generating equipment</w:t>
      </w:r>
    </w:p>
    <w:tbl>
      <w:tblPr>
        <w:tblW w:w="0" w:type="auto"/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/>
      <w:tr>
        <w:trPr>
          <w:tblHeader/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SpireTableThStylefca927b9-5b19-4bef-ad77-ae93dc4ce303"/>
              <w:rPr>
                <w:vanish w:val="0"/>
              </w:rPr>
            </w:pPr>
            <w:r>
              <w:t xml:space="preserve">Standard Composition of Dry Air (Detailed Analysis):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Gas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% by Volume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% by Weight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Parts per Million (by Volume)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Chemical Symbol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Molecular Weight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Nitrogen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78.08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75.47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780790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N2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28.01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Oxygen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20.95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23.2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209445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O2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32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Argon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0.93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9339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Ar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39.95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Carbon Dioxide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404 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CO2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44.01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Neon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0.0018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0.0012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18.21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Ne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20.18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Helium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5.24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He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Krypton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Kr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83.8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Hydrogen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0.00005 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Negligible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H2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2.02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Xenon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8.7 x 10-6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0.00004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0.087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Xe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131.3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SpireTableThStylefca927b9-5b19-4bef-ad77-ae93dc4ce303">
    <w:name w:val="SpireTableThStylefca927b9-5b19-4bef-ad77-ae93dc4ce303"/>
    <w:basedOn w:val="Normal"/>
    <w:qFormat/>
    <w:pPr>
      <w:jc w:val="center"/>
    </w:pPr>
    <w:rPr>
      <w:b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2024-09-01T12:19:25Z</dcterms:created>
  <dcterms:modified xsi:type="dcterms:W3CDTF">2024-09-01T12:19:25Z</dcterms:modified>
</cp:coreProperties>
</file>