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300m3/h membrane nitrogen generator for autoclave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004" type="#_x0000_t75" style="height:5in;width:30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Did you know that many autoclaves maintain a nitrogen atmosphere during use?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t xml:space="preserve">XITE Company's customer is using 2 units of 300 m3/h nitrogen each to maintain a 24 x 7 nitrogen supply at their facility. The customer's main objective is to exclude oxygen and maintain an oxygen level below 5% in their autoclave while their high temperature， high pressure process is curing carbon fiber parts. Therefore， our 98% membrane nitrogen generator fully met the customer's requirements. (Oxygen levels below 2%).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2024-09-01T14:53:10Z</dcterms:created>
  <dcterms:modified xsi:type="dcterms:W3CDTF">2024-09-01T14:53:10Z</dcterms:modified>
</cp:coreProperties>
</file>